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604" w:rsidRDefault="00D750D6" w:rsidP="00D750D6">
      <w:pPr>
        <w:jc w:val="center"/>
        <w:rPr>
          <w:b/>
          <w:i/>
          <w:sz w:val="24"/>
          <w:szCs w:val="24"/>
        </w:rPr>
      </w:pPr>
      <w:r>
        <w:rPr>
          <w:b/>
          <w:sz w:val="24"/>
          <w:szCs w:val="24"/>
        </w:rPr>
        <w:t xml:space="preserve">Adverse Possession: </w:t>
      </w:r>
      <w:r>
        <w:rPr>
          <w:b/>
          <w:i/>
          <w:sz w:val="24"/>
          <w:szCs w:val="24"/>
        </w:rPr>
        <w:t>What deputies need to know</w:t>
      </w:r>
    </w:p>
    <w:p w:rsidR="00D750D6" w:rsidRDefault="00D750D6" w:rsidP="00D750D6">
      <w:pPr>
        <w:rPr>
          <w:sz w:val="24"/>
          <w:szCs w:val="24"/>
        </w:rPr>
      </w:pPr>
      <w:r>
        <w:rPr>
          <w:sz w:val="24"/>
          <w:szCs w:val="24"/>
        </w:rPr>
        <w:t>David Brand, FSA staff</w:t>
      </w:r>
    </w:p>
    <w:p w:rsidR="00D750D6" w:rsidRDefault="00BD40B5" w:rsidP="00D750D6">
      <w:pPr>
        <w:rPr>
          <w:sz w:val="24"/>
          <w:szCs w:val="24"/>
        </w:rPr>
      </w:pPr>
      <w:r>
        <w:rPr>
          <w:sz w:val="24"/>
          <w:szCs w:val="24"/>
        </w:rPr>
        <w:t>In Florida, if a person continuously occupies a parcel of real property for seven consecutive years and does not possess a legal document to validate a claim to the property, the person may acquire ownership of the property via adverse possession.</w:t>
      </w:r>
      <w:r>
        <w:rPr>
          <w:rStyle w:val="EndnoteReference"/>
          <w:sz w:val="24"/>
          <w:szCs w:val="24"/>
        </w:rPr>
        <w:endnoteReference w:id="1"/>
      </w:r>
      <w:r>
        <w:rPr>
          <w:sz w:val="24"/>
          <w:szCs w:val="24"/>
        </w:rPr>
        <w:t xml:space="preserve">  </w:t>
      </w:r>
    </w:p>
    <w:p w:rsidR="00BD40B5" w:rsidRDefault="00BD40B5" w:rsidP="00D750D6">
      <w:pPr>
        <w:rPr>
          <w:sz w:val="24"/>
          <w:szCs w:val="24"/>
        </w:rPr>
      </w:pPr>
      <w:r>
        <w:rPr>
          <w:sz w:val="24"/>
          <w:szCs w:val="24"/>
        </w:rPr>
        <w:t>In England, centuries ago, laws limiting the time in which to initiate a legal action to recover possession of land by way of an action were created.</w:t>
      </w:r>
      <w:r>
        <w:rPr>
          <w:rStyle w:val="EndnoteReference"/>
          <w:sz w:val="24"/>
          <w:szCs w:val="24"/>
        </w:rPr>
        <w:endnoteReference w:id="2"/>
      </w:r>
      <w:r>
        <w:rPr>
          <w:sz w:val="24"/>
          <w:szCs w:val="24"/>
        </w:rPr>
        <w:t xml:space="preserve">  These limitations on ejection actions continue to exist today in most states to terminate the property owner’s access to the courts to recover possession of land.  The adverse possession doctrine takes </w:t>
      </w:r>
      <w:r w:rsidR="00D05451">
        <w:rPr>
          <w:sz w:val="24"/>
          <w:szCs w:val="24"/>
        </w:rPr>
        <w:t>these statutes one step further by providing that the adverse possessor actually gains legal title, displacing the record owner.</w:t>
      </w:r>
      <w:r w:rsidR="00D05451">
        <w:rPr>
          <w:rStyle w:val="EndnoteReference"/>
          <w:sz w:val="24"/>
          <w:szCs w:val="24"/>
        </w:rPr>
        <w:endnoteReference w:id="3"/>
      </w:r>
      <w:r w:rsidR="00D05451">
        <w:rPr>
          <w:sz w:val="24"/>
          <w:szCs w:val="24"/>
        </w:rPr>
        <w:t xml:space="preserve">  The first adverse possession statute appeared in the United States in North Carolina in 1715.</w:t>
      </w:r>
      <w:r w:rsidR="00D05451">
        <w:rPr>
          <w:rStyle w:val="EndnoteReference"/>
          <w:sz w:val="24"/>
          <w:szCs w:val="24"/>
        </w:rPr>
        <w:endnoteReference w:id="4"/>
      </w:r>
    </w:p>
    <w:p w:rsidR="00D05451" w:rsidRDefault="00D05451" w:rsidP="00D750D6">
      <w:pPr>
        <w:rPr>
          <w:sz w:val="24"/>
          <w:szCs w:val="24"/>
        </w:rPr>
      </w:pPr>
      <w:r>
        <w:rPr>
          <w:i/>
          <w:sz w:val="24"/>
          <w:szCs w:val="24"/>
        </w:rPr>
        <w:t xml:space="preserve">What is Adverse Possession? </w:t>
      </w:r>
    </w:p>
    <w:p w:rsidR="00D05451" w:rsidRDefault="00D05451" w:rsidP="00D750D6">
      <w:pPr>
        <w:rPr>
          <w:sz w:val="24"/>
          <w:szCs w:val="24"/>
        </w:rPr>
      </w:pPr>
      <w:r>
        <w:rPr>
          <w:sz w:val="24"/>
          <w:szCs w:val="24"/>
        </w:rPr>
        <w:t xml:space="preserve">Adverse possession is generally defined as a method of acquisition of title to real property by possession for a statutory period of time under certain conditions and usually requires that certain elements be established including: open, continuous for the statutory period, for the entirety of the area, adverse to the record owner’s interests, and notorious.  </w:t>
      </w:r>
    </w:p>
    <w:p w:rsidR="00D05451" w:rsidRDefault="00D05451" w:rsidP="00D750D6">
      <w:pPr>
        <w:rPr>
          <w:sz w:val="24"/>
          <w:szCs w:val="24"/>
        </w:rPr>
      </w:pPr>
      <w:r>
        <w:rPr>
          <w:i/>
          <w:sz w:val="24"/>
          <w:szCs w:val="24"/>
        </w:rPr>
        <w:t xml:space="preserve">When you are likely to receive a complaint </w:t>
      </w:r>
    </w:p>
    <w:p w:rsidR="00D05451" w:rsidRDefault="00D05451" w:rsidP="00D750D6">
      <w:pPr>
        <w:rPr>
          <w:sz w:val="24"/>
          <w:szCs w:val="24"/>
        </w:rPr>
      </w:pPr>
      <w:r>
        <w:rPr>
          <w:sz w:val="24"/>
          <w:szCs w:val="24"/>
        </w:rPr>
        <w:t>Law enforcement is occasionally called to settle a dispute between property owners involving who actually owns or controls land or structures.  These complaints usually involve:</w:t>
      </w:r>
    </w:p>
    <w:p w:rsidR="00D05451" w:rsidRDefault="00D05451" w:rsidP="00D05451">
      <w:pPr>
        <w:pStyle w:val="ListParagraph"/>
        <w:numPr>
          <w:ilvl w:val="0"/>
          <w:numId w:val="1"/>
        </w:numPr>
        <w:rPr>
          <w:sz w:val="24"/>
          <w:szCs w:val="24"/>
        </w:rPr>
      </w:pPr>
      <w:r>
        <w:rPr>
          <w:sz w:val="24"/>
          <w:szCs w:val="24"/>
        </w:rPr>
        <w:t>Where a fence has been placed over a period of years.</w:t>
      </w:r>
    </w:p>
    <w:p w:rsidR="00D05451" w:rsidRDefault="00D05451" w:rsidP="00D05451">
      <w:pPr>
        <w:pStyle w:val="ListParagraph"/>
        <w:numPr>
          <w:ilvl w:val="0"/>
          <w:numId w:val="1"/>
        </w:numPr>
        <w:rPr>
          <w:sz w:val="24"/>
          <w:szCs w:val="24"/>
        </w:rPr>
      </w:pPr>
      <w:r>
        <w:rPr>
          <w:sz w:val="24"/>
          <w:szCs w:val="24"/>
        </w:rPr>
        <w:t>Driving across or through farmland to access other farmland.</w:t>
      </w:r>
    </w:p>
    <w:p w:rsidR="00D05451" w:rsidRDefault="00D05451" w:rsidP="00D05451">
      <w:pPr>
        <w:pStyle w:val="ListParagraph"/>
        <w:numPr>
          <w:ilvl w:val="0"/>
          <w:numId w:val="1"/>
        </w:numPr>
        <w:rPr>
          <w:sz w:val="24"/>
          <w:szCs w:val="24"/>
        </w:rPr>
      </w:pPr>
      <w:r>
        <w:rPr>
          <w:sz w:val="24"/>
          <w:szCs w:val="24"/>
        </w:rPr>
        <w:t>Ingress and Egress to real property.</w:t>
      </w:r>
    </w:p>
    <w:p w:rsidR="00D05451" w:rsidRDefault="00442494" w:rsidP="00D05451">
      <w:pPr>
        <w:pStyle w:val="ListParagraph"/>
        <w:numPr>
          <w:ilvl w:val="0"/>
          <w:numId w:val="1"/>
        </w:numPr>
        <w:rPr>
          <w:sz w:val="24"/>
          <w:szCs w:val="24"/>
        </w:rPr>
      </w:pPr>
      <w:r>
        <w:rPr>
          <w:sz w:val="24"/>
          <w:szCs w:val="24"/>
        </w:rPr>
        <w:t xml:space="preserve">Persons who have been living in a residential structure for several years that is titled to another person.  </w:t>
      </w:r>
    </w:p>
    <w:p w:rsidR="00442494" w:rsidRDefault="00442494" w:rsidP="00442494">
      <w:pPr>
        <w:rPr>
          <w:sz w:val="24"/>
          <w:szCs w:val="24"/>
        </w:rPr>
      </w:pPr>
      <w:r>
        <w:rPr>
          <w:i/>
          <w:sz w:val="24"/>
          <w:szCs w:val="24"/>
        </w:rPr>
        <w:t xml:space="preserve">What the law says </w:t>
      </w:r>
    </w:p>
    <w:p w:rsidR="00442494" w:rsidRDefault="00442494" w:rsidP="00442494">
      <w:pPr>
        <w:rPr>
          <w:sz w:val="24"/>
          <w:szCs w:val="24"/>
        </w:rPr>
      </w:pPr>
      <w:r>
        <w:rPr>
          <w:sz w:val="24"/>
          <w:szCs w:val="24"/>
        </w:rPr>
        <w:t xml:space="preserve">Sections 95.16 and 95.18, Florida Statutes, define the requirements for adverse possession.  §95.16, F.S., addresses adverse possession under color of title and §95.18, F.S., addresses adverse possession without color of title.  When the occupant has been in actual continued occupation of real property for 7 years under a claim of title exclusive of any other right, but not founded on a written instrument, it is considered without color of title.  When the occupant entered possession of real property under a claim of title exclusive of any other right, founding </w:t>
      </w:r>
      <w:r>
        <w:rPr>
          <w:sz w:val="24"/>
          <w:szCs w:val="24"/>
        </w:rPr>
        <w:lastRenderedPageBreak/>
        <w:t xml:space="preserve">the claim on a written instrument as being a conveyance of the property, or on a decree of judgment, and has for 7 years been in continued possession of the property it is considered to be under color of title.  </w:t>
      </w:r>
    </w:p>
    <w:p w:rsidR="00316273" w:rsidRDefault="00316273" w:rsidP="00442494">
      <w:pPr>
        <w:rPr>
          <w:sz w:val="24"/>
          <w:szCs w:val="24"/>
        </w:rPr>
      </w:pPr>
      <w:r>
        <w:rPr>
          <w:sz w:val="24"/>
          <w:szCs w:val="24"/>
        </w:rPr>
        <w:t xml:space="preserve">Senate Bill 1142, effective July 1, 2011, enhanced the existing statutes and defined additional responsibilities that would protect the interest of the person to whom the property was titled.  The Bill included requiring the adverse possessor to use a uniform adverse possession return provided by the Department of Revenue; requiring the property appraiser to notify the owner of record of an adverse possession claim; requiring that a person claiming adverse possession attest to the truthfulness of the information provided in the return under penalty of perjury; requiring that the property appraiser add certain information related to the adverse possession claim to the parcel information on the tax roll and prescribing conditions for removal of that information; excluding property subject to adverse possession claims without color of title from provisions authorizing the tax collector not to send a tax notice for minimum tax bills; and requiring the tax collector to determine whether a duplicate tax payment is made by an adverse possessor.  </w:t>
      </w:r>
    </w:p>
    <w:p w:rsidR="00000A8F" w:rsidRDefault="00FD07B9" w:rsidP="00442494">
      <w:pPr>
        <w:rPr>
          <w:sz w:val="24"/>
          <w:szCs w:val="24"/>
        </w:rPr>
      </w:pPr>
      <w:r>
        <w:rPr>
          <w:sz w:val="24"/>
          <w:szCs w:val="24"/>
        </w:rPr>
        <w:t>The Florida Department of Revenue Adverse Possession form, DE-452, must be completed by the adverse possessor and filed with the property appraiser in the county where the property is located within one year after entering into possession and has subsequently paid all taxes and matured installments of special improvement liens levied against the property by the state, county, and municipality.</w:t>
      </w:r>
      <w:r>
        <w:rPr>
          <w:rStyle w:val="EndnoteReference"/>
          <w:sz w:val="24"/>
          <w:szCs w:val="24"/>
        </w:rPr>
        <w:endnoteReference w:id="5"/>
      </w:r>
      <w:r>
        <w:rPr>
          <w:sz w:val="24"/>
          <w:szCs w:val="24"/>
        </w:rPr>
        <w:t xml:space="preserve">  The purpose is to officially file notice of the adverse possession in the public venue.  Upon receiving this return, the property appraiser is required to notify the owner of record of the adverse possession claim.  </w:t>
      </w:r>
    </w:p>
    <w:p w:rsidR="00316273" w:rsidRDefault="00000A8F" w:rsidP="00442494">
      <w:pPr>
        <w:rPr>
          <w:sz w:val="24"/>
          <w:szCs w:val="24"/>
        </w:rPr>
      </w:pPr>
      <w:r>
        <w:rPr>
          <w:sz w:val="24"/>
          <w:szCs w:val="24"/>
        </w:rPr>
        <w:t>Additionally, under the provisions of the Bill, the tax collector must send a tax notice for minimum tax assessments such as where a fence or drive-way has extended over a property line by a few feet for a number of years and the adverse possessor is claiming ownership.</w:t>
      </w:r>
      <w:r w:rsidR="000E1339">
        <w:rPr>
          <w:rStyle w:val="EndnoteReference"/>
          <w:sz w:val="24"/>
          <w:szCs w:val="24"/>
        </w:rPr>
        <w:endnoteReference w:id="6"/>
      </w:r>
      <w:r w:rsidR="000E1339">
        <w:rPr>
          <w:sz w:val="24"/>
          <w:szCs w:val="24"/>
        </w:rPr>
        <w:t xml:space="preserve">  The tax collector is also required to determine whether a duplicate tax payment is made by an adverse possessor.</w:t>
      </w:r>
      <w:r w:rsidR="000E1339">
        <w:rPr>
          <w:rStyle w:val="EndnoteReference"/>
          <w:sz w:val="24"/>
          <w:szCs w:val="24"/>
        </w:rPr>
        <w:endnoteReference w:id="7"/>
      </w:r>
      <w:r w:rsidR="00FD07B9">
        <w:rPr>
          <w:sz w:val="24"/>
          <w:szCs w:val="24"/>
        </w:rPr>
        <w:t xml:space="preserve">  </w:t>
      </w:r>
    </w:p>
    <w:p w:rsidR="000E1339" w:rsidRDefault="000E1339" w:rsidP="00442494">
      <w:pPr>
        <w:rPr>
          <w:sz w:val="24"/>
          <w:szCs w:val="24"/>
        </w:rPr>
      </w:pPr>
      <w:r>
        <w:rPr>
          <w:i/>
          <w:sz w:val="24"/>
          <w:szCs w:val="24"/>
        </w:rPr>
        <w:t xml:space="preserve">Questions you should ask </w:t>
      </w:r>
    </w:p>
    <w:p w:rsidR="000E1339" w:rsidRDefault="000E1339" w:rsidP="00442494">
      <w:pPr>
        <w:rPr>
          <w:sz w:val="24"/>
          <w:szCs w:val="24"/>
        </w:rPr>
      </w:pPr>
      <w:r>
        <w:rPr>
          <w:sz w:val="24"/>
          <w:szCs w:val="24"/>
        </w:rPr>
        <w:t>When responding to a complaint involving possible adverse possession, determining the answer to the following questions may help you resolve the complaint:</w:t>
      </w:r>
    </w:p>
    <w:p w:rsidR="000E1339" w:rsidRDefault="000E1339" w:rsidP="000E1339">
      <w:pPr>
        <w:pStyle w:val="ListParagraph"/>
        <w:numPr>
          <w:ilvl w:val="0"/>
          <w:numId w:val="2"/>
        </w:numPr>
        <w:rPr>
          <w:sz w:val="24"/>
          <w:szCs w:val="24"/>
        </w:rPr>
      </w:pPr>
      <w:r>
        <w:rPr>
          <w:sz w:val="24"/>
          <w:szCs w:val="24"/>
        </w:rPr>
        <w:t>Has anyone given the property owner notice that they have filed for adverse possession on the property in question?</w:t>
      </w:r>
    </w:p>
    <w:p w:rsidR="000E1339" w:rsidRDefault="000E1339" w:rsidP="000E1339">
      <w:pPr>
        <w:pStyle w:val="ListParagraph"/>
        <w:numPr>
          <w:ilvl w:val="0"/>
          <w:numId w:val="2"/>
        </w:numPr>
        <w:rPr>
          <w:sz w:val="24"/>
          <w:szCs w:val="24"/>
        </w:rPr>
      </w:pPr>
      <w:r>
        <w:rPr>
          <w:sz w:val="24"/>
          <w:szCs w:val="24"/>
        </w:rPr>
        <w:t>Has anyone enclosed and/or made improvements to the property?</w:t>
      </w:r>
    </w:p>
    <w:p w:rsidR="000E1339" w:rsidRDefault="000E1339" w:rsidP="000E1339">
      <w:pPr>
        <w:pStyle w:val="ListParagraph"/>
        <w:numPr>
          <w:ilvl w:val="0"/>
          <w:numId w:val="2"/>
        </w:numPr>
        <w:rPr>
          <w:sz w:val="24"/>
          <w:szCs w:val="24"/>
        </w:rPr>
      </w:pPr>
      <w:r>
        <w:rPr>
          <w:sz w:val="24"/>
          <w:szCs w:val="24"/>
        </w:rPr>
        <w:t>Is anyone occupying any structure located on the property?</w:t>
      </w:r>
    </w:p>
    <w:p w:rsidR="000E1339" w:rsidRDefault="000E1339" w:rsidP="000E1339">
      <w:pPr>
        <w:pStyle w:val="ListParagraph"/>
        <w:numPr>
          <w:ilvl w:val="0"/>
          <w:numId w:val="2"/>
        </w:numPr>
        <w:rPr>
          <w:sz w:val="24"/>
          <w:szCs w:val="24"/>
        </w:rPr>
      </w:pPr>
      <w:r>
        <w:rPr>
          <w:sz w:val="24"/>
          <w:szCs w:val="24"/>
        </w:rPr>
        <w:lastRenderedPageBreak/>
        <w:t>Has anyone filed an Adverse Property Return, for the property in question, with the county property appraiser?</w:t>
      </w:r>
    </w:p>
    <w:p w:rsidR="000E1339" w:rsidRPr="000E1339" w:rsidRDefault="00A81F32" w:rsidP="000E1339">
      <w:pPr>
        <w:pStyle w:val="ListParagraph"/>
        <w:numPr>
          <w:ilvl w:val="0"/>
          <w:numId w:val="2"/>
        </w:numPr>
        <w:rPr>
          <w:sz w:val="24"/>
          <w:szCs w:val="24"/>
        </w:rPr>
      </w:pPr>
      <w:r>
        <w:rPr>
          <w:sz w:val="24"/>
          <w:szCs w:val="24"/>
        </w:rPr>
        <w:t>Has anyone other than the titled owner been paying property taxes on the property?</w:t>
      </w:r>
    </w:p>
    <w:sectPr w:rsidR="000E1339" w:rsidRPr="000E1339" w:rsidSect="00C74604">
      <w:endnotePr>
        <w:numFmt w:val="decimal"/>
      </w:endnotePr>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587C" w:rsidRDefault="0049587C" w:rsidP="00BD40B5">
      <w:pPr>
        <w:spacing w:after="0" w:line="240" w:lineRule="auto"/>
      </w:pPr>
      <w:r>
        <w:separator/>
      </w:r>
    </w:p>
  </w:endnote>
  <w:endnote w:type="continuationSeparator" w:id="0">
    <w:p w:rsidR="0049587C" w:rsidRDefault="0049587C" w:rsidP="00BD40B5">
      <w:pPr>
        <w:spacing w:after="0" w:line="240" w:lineRule="auto"/>
      </w:pPr>
      <w:r>
        <w:continuationSeparator/>
      </w:r>
    </w:p>
  </w:endnote>
  <w:endnote w:id="1">
    <w:p w:rsidR="00BD40B5" w:rsidRPr="00BD40B5" w:rsidRDefault="00BD40B5">
      <w:pPr>
        <w:pStyle w:val="EndnoteText"/>
      </w:pPr>
      <w:r>
        <w:rPr>
          <w:rStyle w:val="EndnoteReference"/>
        </w:rPr>
        <w:endnoteRef/>
      </w:r>
      <w:r>
        <w:t xml:space="preserve"> Staff study. (October, 2009). </w:t>
      </w:r>
      <w:r>
        <w:rPr>
          <w:i/>
        </w:rPr>
        <w:t xml:space="preserve">Review of Requirements for Acquiring Title to Real Property Through Adverse Possession. </w:t>
      </w:r>
      <w:r>
        <w:t>The Florida Senate Interim Report 2010-123.</w:t>
      </w:r>
    </w:p>
  </w:endnote>
  <w:endnote w:id="2">
    <w:p w:rsidR="00BD40B5" w:rsidRPr="00BD40B5" w:rsidRDefault="00BD40B5">
      <w:pPr>
        <w:pStyle w:val="EndnoteText"/>
      </w:pPr>
      <w:r>
        <w:rPr>
          <w:rStyle w:val="EndnoteReference"/>
        </w:rPr>
        <w:endnoteRef/>
      </w:r>
      <w:r w:rsidR="0063242B">
        <w:t xml:space="preserve"> Stake, Jeffrey E., </w:t>
      </w:r>
      <w:proofErr w:type="gramStart"/>
      <w:r>
        <w:rPr>
          <w:i/>
        </w:rPr>
        <w:t>The</w:t>
      </w:r>
      <w:proofErr w:type="gramEnd"/>
      <w:r>
        <w:rPr>
          <w:i/>
        </w:rPr>
        <w:t xml:space="preserve"> Uneasy Case for Adverse Possession, </w:t>
      </w:r>
      <w:r w:rsidR="0063242B">
        <w:t xml:space="preserve">89 </w:t>
      </w:r>
      <w:r w:rsidR="0063242B" w:rsidRPr="0063242B">
        <w:rPr>
          <w:smallCaps/>
        </w:rPr>
        <w:t>Geo. L.J</w:t>
      </w:r>
      <w:r w:rsidR="0063242B">
        <w:t>. 2419, 2421 (2001).</w:t>
      </w:r>
    </w:p>
  </w:endnote>
  <w:endnote w:id="3">
    <w:p w:rsidR="00D05451" w:rsidRDefault="00D05451">
      <w:pPr>
        <w:pStyle w:val="EndnoteText"/>
      </w:pPr>
      <w:r>
        <w:rPr>
          <w:rStyle w:val="EndnoteReference"/>
        </w:rPr>
        <w:endnoteRef/>
      </w:r>
      <w:r>
        <w:t xml:space="preserve"> </w:t>
      </w:r>
      <w:proofErr w:type="gramStart"/>
      <w:r>
        <w:t>Ibid at 2422.</w:t>
      </w:r>
      <w:proofErr w:type="gramEnd"/>
    </w:p>
  </w:endnote>
  <w:endnote w:id="4">
    <w:p w:rsidR="00D05451" w:rsidRPr="00D05451" w:rsidRDefault="00D05451">
      <w:pPr>
        <w:pStyle w:val="EndnoteText"/>
      </w:pPr>
      <w:r>
        <w:rPr>
          <w:rStyle w:val="EndnoteReference"/>
        </w:rPr>
        <w:endnoteRef/>
      </w:r>
      <w:r>
        <w:t xml:space="preserve"> Gardner, B</w:t>
      </w:r>
      <w:r w:rsidR="0063242B">
        <w:t>rian,</w:t>
      </w:r>
      <w:r>
        <w:t xml:space="preserve"> </w:t>
      </w:r>
      <w:r>
        <w:rPr>
          <w:i/>
        </w:rPr>
        <w:t xml:space="preserve">Squatters’ Rights and Adverse Possession: A Search for Equitable Application of Property Laws, </w:t>
      </w:r>
      <w:r>
        <w:t xml:space="preserve">8 </w:t>
      </w:r>
      <w:r w:rsidRPr="0063242B">
        <w:rPr>
          <w:smallCaps/>
        </w:rPr>
        <w:t>IND.</w:t>
      </w:r>
      <w:r w:rsidR="0063242B" w:rsidRPr="0063242B">
        <w:rPr>
          <w:smallCaps/>
        </w:rPr>
        <w:t xml:space="preserve"> INT’L &amp; Comp. L. Rev.</w:t>
      </w:r>
      <w:r w:rsidR="0063242B">
        <w:t xml:space="preserve"> 119, 129 (1997).</w:t>
      </w:r>
    </w:p>
  </w:endnote>
  <w:endnote w:id="5">
    <w:p w:rsidR="00FD07B9" w:rsidRDefault="00FD07B9">
      <w:pPr>
        <w:pStyle w:val="EndnoteText"/>
      </w:pPr>
      <w:r>
        <w:rPr>
          <w:rStyle w:val="EndnoteReference"/>
        </w:rPr>
        <w:endnoteRef/>
      </w:r>
      <w:r>
        <w:t xml:space="preserve"> §95.18 (1), Florida Statutes</w:t>
      </w:r>
      <w:r w:rsidR="0063242B">
        <w:t xml:space="preserve"> (2012).</w:t>
      </w:r>
    </w:p>
  </w:endnote>
  <w:endnote w:id="6">
    <w:p w:rsidR="000E1339" w:rsidRDefault="000E1339">
      <w:pPr>
        <w:pStyle w:val="EndnoteText"/>
      </w:pPr>
      <w:r>
        <w:rPr>
          <w:rStyle w:val="EndnoteReference"/>
        </w:rPr>
        <w:endnoteRef/>
      </w:r>
      <w:r>
        <w:t xml:space="preserve"> §197.212, Florida Statutes</w:t>
      </w:r>
      <w:r w:rsidR="0063242B">
        <w:t xml:space="preserve"> (2012).</w:t>
      </w:r>
    </w:p>
  </w:endnote>
  <w:endnote w:id="7">
    <w:p w:rsidR="000E1339" w:rsidRDefault="000E1339">
      <w:pPr>
        <w:pStyle w:val="EndnoteText"/>
      </w:pPr>
      <w:r>
        <w:rPr>
          <w:rStyle w:val="EndnoteReference"/>
        </w:rPr>
        <w:endnoteRef/>
      </w:r>
      <w:r>
        <w:t xml:space="preserve"> §197.3335, Florida Statutes</w:t>
      </w:r>
      <w:r w:rsidR="0063242B">
        <w:t xml:space="preserve"> (2012).</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587C" w:rsidRDefault="0049587C" w:rsidP="00BD40B5">
      <w:pPr>
        <w:spacing w:after="0" w:line="240" w:lineRule="auto"/>
      </w:pPr>
      <w:r>
        <w:separator/>
      </w:r>
    </w:p>
  </w:footnote>
  <w:footnote w:type="continuationSeparator" w:id="0">
    <w:p w:rsidR="0049587C" w:rsidRDefault="0049587C" w:rsidP="00BD40B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236BC6"/>
    <w:multiLevelType w:val="hybridMultilevel"/>
    <w:tmpl w:val="D1AEB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F44F67"/>
    <w:multiLevelType w:val="hybridMultilevel"/>
    <w:tmpl w:val="DD64DB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numFmt w:val="decimal"/>
    <w:endnote w:id="-1"/>
    <w:endnote w:id="0"/>
  </w:endnotePr>
  <w:compat/>
  <w:rsids>
    <w:rsidRoot w:val="00D750D6"/>
    <w:rsid w:val="00000A8F"/>
    <w:rsid w:val="000E1339"/>
    <w:rsid w:val="00214E86"/>
    <w:rsid w:val="00316273"/>
    <w:rsid w:val="003B02C5"/>
    <w:rsid w:val="00442494"/>
    <w:rsid w:val="0049587C"/>
    <w:rsid w:val="005D2F23"/>
    <w:rsid w:val="00624B8F"/>
    <w:rsid w:val="0063242B"/>
    <w:rsid w:val="00A81F32"/>
    <w:rsid w:val="00BD40B5"/>
    <w:rsid w:val="00C74604"/>
    <w:rsid w:val="00D05451"/>
    <w:rsid w:val="00D750D6"/>
    <w:rsid w:val="00D81C6C"/>
    <w:rsid w:val="00FD07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6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BD40B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D40B5"/>
    <w:rPr>
      <w:sz w:val="20"/>
      <w:szCs w:val="20"/>
    </w:rPr>
  </w:style>
  <w:style w:type="character" w:styleId="EndnoteReference">
    <w:name w:val="endnote reference"/>
    <w:basedOn w:val="DefaultParagraphFont"/>
    <w:uiPriority w:val="99"/>
    <w:semiHidden/>
    <w:unhideWhenUsed/>
    <w:rsid w:val="00BD40B5"/>
    <w:rPr>
      <w:vertAlign w:val="superscript"/>
    </w:rPr>
  </w:style>
  <w:style w:type="paragraph" w:styleId="ListParagraph">
    <w:name w:val="List Paragraph"/>
    <w:basedOn w:val="Normal"/>
    <w:uiPriority w:val="34"/>
    <w:qFormat/>
    <w:rsid w:val="00D0545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06DA299-88FB-4A70-AEAC-9D61CBB43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783</Words>
  <Characters>4468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Brand</dc:creator>
  <cp:lastModifiedBy>David Brand</cp:lastModifiedBy>
  <cp:revision>2</cp:revision>
  <dcterms:created xsi:type="dcterms:W3CDTF">2013-01-18T14:25:00Z</dcterms:created>
  <dcterms:modified xsi:type="dcterms:W3CDTF">2013-01-18T14:25:00Z</dcterms:modified>
</cp:coreProperties>
</file>